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AD5" w:rsidRDefault="0004318C">
      <w:pPr>
        <w:spacing w:before="100" w:after="280"/>
        <w:rPr>
          <w:rFonts w:ascii="Times" w:eastAsia="Times" w:hAnsi="Times" w:cs="Times"/>
          <w:b/>
          <w:sz w:val="20"/>
          <w:szCs w:val="20"/>
        </w:rPr>
      </w:pPr>
      <w:r>
        <w:rPr>
          <w:rFonts w:ascii="Technicalb0166.625" w:eastAsia="Technicalb0166.625" w:hAnsi="Technicalb0166.625" w:cs="Technicalb0166.625"/>
          <w:b/>
          <w:color w:val="05356D"/>
          <w:sz w:val="40"/>
          <w:szCs w:val="40"/>
        </w:rPr>
        <w:t>Note on Identifying Costs and Benefits</w:t>
      </w:r>
    </w:p>
    <w:p w:rsidR="009E1AD5" w:rsidRDefault="0004318C">
      <w:pPr>
        <w:rPr>
          <w:b/>
        </w:rPr>
      </w:pPr>
      <w:r>
        <w:rPr>
          <w:b/>
        </w:rPr>
        <w:t>Table 1: The scope of potential costs and benefits</w:t>
      </w:r>
    </w:p>
    <w:p w:rsidR="009E1AD5" w:rsidRDefault="009E1AD5"/>
    <w:tbl>
      <w:tblPr>
        <w:tblStyle w:val="a"/>
        <w:tblW w:w="8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8"/>
        <w:gridCol w:w="2841"/>
        <w:gridCol w:w="2841"/>
      </w:tblGrid>
      <w:tr w:rsidR="009E1AD5">
        <w:tc>
          <w:tcPr>
            <w:tcW w:w="2948" w:type="dxa"/>
          </w:tcPr>
          <w:p w:rsidR="009E1AD5" w:rsidRDefault="0004318C">
            <w:pPr>
              <w:jc w:val="center"/>
              <w:rPr>
                <w:b/>
              </w:rPr>
            </w:pPr>
            <w:r>
              <w:rPr>
                <w:b/>
              </w:rPr>
              <w:t>Costs, Benefits/Impact</w:t>
            </w:r>
          </w:p>
        </w:tc>
        <w:tc>
          <w:tcPr>
            <w:tcW w:w="2841" w:type="dxa"/>
          </w:tcPr>
          <w:p w:rsidR="009E1AD5" w:rsidRDefault="0004318C">
            <w:pPr>
              <w:jc w:val="center"/>
              <w:rPr>
                <w:b/>
              </w:rPr>
            </w:pPr>
            <w:r>
              <w:rPr>
                <w:b/>
              </w:rPr>
              <w:t xml:space="preserve">Direct Costs and Benefits </w:t>
            </w:r>
          </w:p>
        </w:tc>
        <w:tc>
          <w:tcPr>
            <w:tcW w:w="2841" w:type="dxa"/>
          </w:tcPr>
          <w:p w:rsidR="009E1AD5" w:rsidRDefault="0004318C">
            <w:pPr>
              <w:jc w:val="center"/>
              <w:rPr>
                <w:b/>
              </w:rPr>
            </w:pPr>
            <w:r>
              <w:rPr>
                <w:b/>
              </w:rPr>
              <w:t xml:space="preserve">Indirect Costs and Benefits </w:t>
            </w:r>
          </w:p>
        </w:tc>
      </w:tr>
      <w:tr w:rsidR="009E1AD5">
        <w:tc>
          <w:tcPr>
            <w:tcW w:w="2948" w:type="dxa"/>
          </w:tcPr>
          <w:p w:rsidR="009E1AD5" w:rsidRDefault="0004318C">
            <w:pPr>
              <w:jc w:val="right"/>
            </w:pPr>
            <w:r>
              <w:t>Intended Costs</w:t>
            </w:r>
          </w:p>
        </w:tc>
        <w:tc>
          <w:tcPr>
            <w:tcW w:w="2841" w:type="dxa"/>
          </w:tcPr>
          <w:p w:rsidR="009E1AD5" w:rsidRDefault="009E1AD5"/>
        </w:tc>
        <w:tc>
          <w:tcPr>
            <w:tcW w:w="2841" w:type="dxa"/>
          </w:tcPr>
          <w:p w:rsidR="009E1AD5" w:rsidRDefault="009E1AD5"/>
        </w:tc>
      </w:tr>
      <w:tr w:rsidR="009E1AD5">
        <w:tc>
          <w:tcPr>
            <w:tcW w:w="2948" w:type="dxa"/>
          </w:tcPr>
          <w:p w:rsidR="009E1AD5" w:rsidRDefault="0004318C">
            <w:pPr>
              <w:jc w:val="right"/>
            </w:pPr>
            <w:r>
              <w:t xml:space="preserve">Intended Benefits </w:t>
            </w:r>
          </w:p>
        </w:tc>
        <w:tc>
          <w:tcPr>
            <w:tcW w:w="2841" w:type="dxa"/>
          </w:tcPr>
          <w:p w:rsidR="009E1AD5" w:rsidRDefault="009E1AD5"/>
        </w:tc>
        <w:tc>
          <w:tcPr>
            <w:tcW w:w="2841" w:type="dxa"/>
          </w:tcPr>
          <w:p w:rsidR="009E1AD5" w:rsidRDefault="009E1AD5"/>
        </w:tc>
      </w:tr>
      <w:tr w:rsidR="009E1AD5">
        <w:tc>
          <w:tcPr>
            <w:tcW w:w="2948" w:type="dxa"/>
          </w:tcPr>
          <w:p w:rsidR="009E1AD5" w:rsidRDefault="0004318C">
            <w:pPr>
              <w:jc w:val="right"/>
            </w:pPr>
            <w:r>
              <w:t>Unintended Costs</w:t>
            </w:r>
          </w:p>
        </w:tc>
        <w:tc>
          <w:tcPr>
            <w:tcW w:w="2841" w:type="dxa"/>
          </w:tcPr>
          <w:p w:rsidR="009E1AD5" w:rsidRDefault="009E1AD5"/>
        </w:tc>
        <w:tc>
          <w:tcPr>
            <w:tcW w:w="2841" w:type="dxa"/>
          </w:tcPr>
          <w:p w:rsidR="009E1AD5" w:rsidRDefault="009E1AD5"/>
        </w:tc>
      </w:tr>
      <w:tr w:rsidR="009E1AD5">
        <w:tc>
          <w:tcPr>
            <w:tcW w:w="2948" w:type="dxa"/>
          </w:tcPr>
          <w:p w:rsidR="009E1AD5" w:rsidRDefault="0004318C">
            <w:pPr>
              <w:jc w:val="right"/>
            </w:pPr>
            <w:r>
              <w:t>Unintended Benefits</w:t>
            </w:r>
          </w:p>
        </w:tc>
        <w:tc>
          <w:tcPr>
            <w:tcW w:w="2841" w:type="dxa"/>
          </w:tcPr>
          <w:p w:rsidR="009E1AD5" w:rsidRDefault="009E1AD5"/>
        </w:tc>
        <w:tc>
          <w:tcPr>
            <w:tcW w:w="2841" w:type="dxa"/>
          </w:tcPr>
          <w:p w:rsidR="009E1AD5" w:rsidRDefault="009E1AD5"/>
        </w:tc>
      </w:tr>
    </w:tbl>
    <w:p w:rsidR="009E1AD5" w:rsidRDefault="009E1AD5"/>
    <w:p w:rsidR="009E1AD5" w:rsidRDefault="009E1AD5">
      <w:pPr>
        <w:rPr>
          <w:rFonts w:ascii="Times" w:eastAsia="Times" w:hAnsi="Times" w:cs="Times"/>
        </w:rPr>
      </w:pPr>
    </w:p>
    <w:p w:rsidR="009E1AD5" w:rsidRDefault="0004318C">
      <w:pPr>
        <w:pStyle w:val="Heading1"/>
      </w:pPr>
      <w:r>
        <w:t>Step 1.</w:t>
      </w:r>
      <w:r>
        <w:tab/>
        <w:t>Understand Who the Beneficiaries/Stakeholders Will Be</w:t>
      </w:r>
    </w:p>
    <w:p w:rsidR="009E1AD5" w:rsidRDefault="009E1AD5"/>
    <w:p w:rsidR="009E1AD5" w:rsidRDefault="0004318C">
      <w:r>
        <w:t>Stakeholders of Emergency Room Renovation project:</w:t>
      </w:r>
    </w:p>
    <w:p w:rsidR="009E1AD5" w:rsidRDefault="0004318C">
      <w:pPr>
        <w:numPr>
          <w:ilvl w:val="0"/>
          <w:numId w:val="2"/>
        </w:numPr>
        <w:contextualSpacing/>
      </w:pPr>
      <w:r>
        <w:t>Personnel</w:t>
      </w:r>
    </w:p>
    <w:p w:rsidR="009E1AD5" w:rsidRDefault="0004318C">
      <w:pPr>
        <w:numPr>
          <w:ilvl w:val="0"/>
          <w:numId w:val="2"/>
        </w:numPr>
        <w:contextualSpacing/>
      </w:pPr>
      <w:r>
        <w:t>Emergency room visitors</w:t>
      </w:r>
    </w:p>
    <w:p w:rsidR="009E1AD5" w:rsidRDefault="0004318C">
      <w:pPr>
        <w:numPr>
          <w:ilvl w:val="0"/>
          <w:numId w:val="2"/>
        </w:numPr>
        <w:contextualSpacing/>
      </w:pPr>
      <w:r>
        <w:t>Visitor’s friends and family accompanying them</w:t>
      </w:r>
    </w:p>
    <w:p w:rsidR="009E1AD5" w:rsidRDefault="0004318C">
      <w:pPr>
        <w:numPr>
          <w:ilvl w:val="0"/>
          <w:numId w:val="2"/>
        </w:numPr>
        <w:contextualSpacing/>
      </w:pPr>
      <w:r>
        <w:t>The hospital in which Emergency room is located</w:t>
      </w:r>
    </w:p>
    <w:p w:rsidR="009E1AD5" w:rsidRDefault="0004318C">
      <w:pPr>
        <w:numPr>
          <w:ilvl w:val="0"/>
          <w:numId w:val="2"/>
        </w:numPr>
        <w:contextualSpacing/>
      </w:pPr>
      <w:r>
        <w:t>Insurance co</w:t>
      </w:r>
      <w:r>
        <w:t>mpanies that work with the hospital</w:t>
      </w:r>
    </w:p>
    <w:p w:rsidR="009E1AD5" w:rsidRDefault="0004318C">
      <w:pPr>
        <w:numPr>
          <w:ilvl w:val="0"/>
          <w:numId w:val="2"/>
        </w:numPr>
        <w:contextualSpacing/>
      </w:pPr>
      <w:r>
        <w:t>Cleaning people</w:t>
      </w:r>
    </w:p>
    <w:p w:rsidR="009E1AD5" w:rsidRDefault="0004318C">
      <w:pPr>
        <w:numPr>
          <w:ilvl w:val="0"/>
          <w:numId w:val="2"/>
        </w:numPr>
        <w:contextualSpacing/>
      </w:pPr>
      <w:r>
        <w:t>The neighborhood in which Emergency room is located</w:t>
      </w:r>
    </w:p>
    <w:p w:rsidR="009E1AD5" w:rsidRDefault="0004318C">
      <w:pPr>
        <w:numPr>
          <w:ilvl w:val="0"/>
          <w:numId w:val="2"/>
        </w:numPr>
        <w:contextualSpacing/>
      </w:pPr>
      <w:r>
        <w:t>All the rest of the hospital (people from ER directed to different hospital departments after examination)</w:t>
      </w:r>
    </w:p>
    <w:p w:rsidR="009E1AD5" w:rsidRDefault="0004318C">
      <w:pPr>
        <w:numPr>
          <w:ilvl w:val="0"/>
          <w:numId w:val="2"/>
        </w:numPr>
        <w:contextualSpacing/>
      </w:pPr>
      <w:r>
        <w:t>The municipal government interested in sustainable spaces, and better operation of the hospital.</w:t>
      </w:r>
    </w:p>
    <w:p w:rsidR="009E1AD5" w:rsidRDefault="0004318C">
      <w:pPr>
        <w:pStyle w:val="Heading1"/>
      </w:pPr>
      <w:r>
        <w:t>Step 2.</w:t>
      </w:r>
      <w:r>
        <w:tab/>
        <w:t>Understand the Current Business Processes (NEEDS ASSESSMENT) of Key Stakeholders Before You Can Understand Costs and Potential Benefits</w:t>
      </w:r>
    </w:p>
    <w:p w:rsidR="009E1AD5" w:rsidRDefault="009E1AD5"/>
    <w:p w:rsidR="009E1AD5" w:rsidRDefault="0004318C">
      <w:r>
        <w:t>Needs of the s</w:t>
      </w:r>
      <w:r>
        <w:t>takeholders</w:t>
      </w:r>
    </w:p>
    <w:p w:rsidR="009E1AD5" w:rsidRDefault="0004318C">
      <w:pPr>
        <w:numPr>
          <w:ilvl w:val="0"/>
          <w:numId w:val="1"/>
        </w:numPr>
        <w:contextualSpacing/>
      </w:pPr>
      <w:r>
        <w:t>Personnel - efficient circulation, infection control</w:t>
      </w:r>
    </w:p>
    <w:p w:rsidR="009E1AD5" w:rsidRDefault="0004318C">
      <w:pPr>
        <w:numPr>
          <w:ilvl w:val="0"/>
          <w:numId w:val="1"/>
        </w:numPr>
        <w:contextualSpacing/>
      </w:pPr>
      <w:r>
        <w:t>Emergency room visitors - fast service, comfortable environment</w:t>
      </w:r>
    </w:p>
    <w:p w:rsidR="009E1AD5" w:rsidRDefault="0004318C">
      <w:pPr>
        <w:numPr>
          <w:ilvl w:val="0"/>
          <w:numId w:val="1"/>
        </w:numPr>
        <w:contextualSpacing/>
      </w:pPr>
      <w:r>
        <w:t>Visitor’s friends and family accompanying them - comforting space, fast service, comfortable waiting areas</w:t>
      </w:r>
    </w:p>
    <w:p w:rsidR="009E1AD5" w:rsidRDefault="0004318C">
      <w:pPr>
        <w:numPr>
          <w:ilvl w:val="0"/>
          <w:numId w:val="1"/>
        </w:numPr>
        <w:contextualSpacing/>
      </w:pPr>
      <w:r>
        <w:t>The hospital in whic</w:t>
      </w:r>
      <w:r>
        <w:t>h Emergency room is located - infection control, efficient circulation</w:t>
      </w:r>
    </w:p>
    <w:p w:rsidR="009E1AD5" w:rsidRDefault="0004318C">
      <w:pPr>
        <w:numPr>
          <w:ilvl w:val="0"/>
          <w:numId w:val="1"/>
        </w:numPr>
        <w:contextualSpacing/>
      </w:pPr>
      <w:r>
        <w:lastRenderedPageBreak/>
        <w:t>Insurance companies that work with the hospital - high client demand, great customer experience</w:t>
      </w:r>
    </w:p>
    <w:p w:rsidR="009E1AD5" w:rsidRDefault="0004318C">
      <w:pPr>
        <w:numPr>
          <w:ilvl w:val="0"/>
          <w:numId w:val="1"/>
        </w:numPr>
        <w:contextualSpacing/>
      </w:pPr>
      <w:r>
        <w:t xml:space="preserve">Cleaning people - easy to clean surfaces, space that is easy to maintain </w:t>
      </w:r>
    </w:p>
    <w:p w:rsidR="009E1AD5" w:rsidRDefault="0004318C">
      <w:pPr>
        <w:numPr>
          <w:ilvl w:val="0"/>
          <w:numId w:val="1"/>
        </w:numPr>
        <w:contextualSpacing/>
      </w:pPr>
      <w:r>
        <w:t>The neighborhoo</w:t>
      </w:r>
      <w:r>
        <w:t>d in which Emergency room is located - appealing exterior facade, landscaping</w:t>
      </w:r>
    </w:p>
    <w:p w:rsidR="009E1AD5" w:rsidRDefault="0004318C">
      <w:pPr>
        <w:numPr>
          <w:ilvl w:val="0"/>
          <w:numId w:val="1"/>
        </w:numPr>
        <w:contextualSpacing/>
      </w:pPr>
      <w:r>
        <w:t>All the rest of the hospital (people from ER directed to different hospital departments after examination) - infection control, circulation, convenient adjacencies</w:t>
      </w:r>
    </w:p>
    <w:p w:rsidR="009E1AD5" w:rsidRDefault="0004318C">
      <w:pPr>
        <w:numPr>
          <w:ilvl w:val="0"/>
          <w:numId w:val="1"/>
        </w:numPr>
        <w:contextualSpacing/>
      </w:pPr>
      <w:r>
        <w:t xml:space="preserve">The municipal </w:t>
      </w:r>
      <w:r>
        <w:t>government interested in sustainable spaces, and better operation of the hospital - great hospital experience makes the neighborhood or city more appealing for newcomers</w:t>
      </w:r>
    </w:p>
    <w:p w:rsidR="009E1AD5" w:rsidRDefault="0004318C">
      <w:pPr>
        <w:pStyle w:val="Heading1"/>
        <w:rPr>
          <w:rFonts w:ascii="Times" w:eastAsia="Times" w:hAnsi="Times" w:cs="Times"/>
          <w:sz w:val="20"/>
          <w:szCs w:val="20"/>
        </w:rPr>
      </w:pPr>
      <w:r>
        <w:t>Step 3.</w:t>
      </w:r>
      <w:r>
        <w:tab/>
        <w:t xml:space="preserve">What Are the Costs that can be Measured? </w:t>
      </w:r>
    </w:p>
    <w:p w:rsidR="009E1AD5" w:rsidRDefault="009E1AD5"/>
    <w:p w:rsidR="009E1AD5" w:rsidRDefault="0004318C">
      <w:r>
        <w:t xml:space="preserve">The analysis should also include a </w:t>
      </w:r>
      <w:r>
        <w:t>statement of how each benefit will be measured to see if it has been achieved. Some measures will be relatively easy to describe in quantitative terms, especially those in the cheaper and faster categories. Others that we usually think of as qualitative (e</w:t>
      </w:r>
      <w:r>
        <w:t xml:space="preserve">.g. “client satisfaction”) can often be translated into measures through techniques known as monetization methods. </w:t>
      </w:r>
    </w:p>
    <w:p w:rsidR="009E1AD5" w:rsidRDefault="009E1AD5"/>
    <w:p w:rsidR="009E1AD5" w:rsidRDefault="0004318C">
      <w:pPr>
        <w:pStyle w:val="Heading2"/>
      </w:pPr>
      <w:r>
        <w:t>Table 1: Cost/Benefit Framework</w:t>
      </w:r>
    </w:p>
    <w:p w:rsidR="009E1AD5" w:rsidRDefault="009E1AD5"/>
    <w:tbl>
      <w:tblPr>
        <w:tblStyle w:val="a0"/>
        <w:tblW w:w="8624" w:type="dxa"/>
        <w:tblLayout w:type="fixed"/>
        <w:tblLook w:val="0400" w:firstRow="0" w:lastRow="0" w:firstColumn="0" w:lastColumn="0" w:noHBand="0" w:noVBand="1"/>
      </w:tblPr>
      <w:tblGrid>
        <w:gridCol w:w="4806"/>
        <w:gridCol w:w="1586"/>
        <w:gridCol w:w="1381"/>
        <w:gridCol w:w="851"/>
      </w:tblGrid>
      <w:tr w:rsidR="009E1AD5">
        <w:trPr>
          <w:trHeight w:val="420"/>
        </w:trPr>
        <w:tc>
          <w:tcPr>
            <w:tcW w:w="8624" w:type="dxa"/>
            <w:gridSpan w:val="4"/>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rPr>
                <w:b/>
              </w:rPr>
            </w:pPr>
            <w:r>
              <w:rPr>
                <w:b/>
              </w:rPr>
              <w:t>1.  Costs of the LEED Platinum building</w:t>
            </w:r>
          </w:p>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rPr>
                <w:b/>
                <w:i/>
              </w:rPr>
            </w:pPr>
            <w:r>
              <w:rPr>
                <w:b/>
                <w:i/>
              </w:rPr>
              <w:t>Type of Costs</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rPr>
                <w:b/>
              </w:rPr>
            </w:pPr>
            <w:r>
              <w:rPr>
                <w:b/>
              </w:rPr>
              <w:t xml:space="preserve">Direct Cost </w:t>
            </w:r>
          </w:p>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rPr>
                <w:b/>
              </w:rPr>
            </w:pPr>
            <w:r>
              <w:rPr>
                <w:b/>
              </w:rPr>
              <w:t xml:space="preserve">Indirect Cost </w:t>
            </w:r>
          </w:p>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 xml:space="preserve">Personnel </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 xml:space="preserve">Equipment </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 xml:space="preserve">Supplies </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 xml:space="preserve">Utilities </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 xml:space="preserve">Contractual services </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 xml:space="preserve">Facility construction </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Failure to regulate</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Accident risks</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 xml:space="preserve">etc. </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trHeight w:val="420"/>
        </w:trPr>
        <w:tc>
          <w:tcPr>
            <w:tcW w:w="8624" w:type="dxa"/>
            <w:gridSpan w:val="4"/>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rPr>
                <w:b/>
              </w:rPr>
            </w:pPr>
            <w:r>
              <w:rPr>
                <w:b/>
              </w:rPr>
              <w:lastRenderedPageBreak/>
              <w:t>2.  Costs of Living Building Challenge building</w:t>
            </w:r>
          </w:p>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rPr>
                <w:b/>
                <w:i/>
              </w:rPr>
            </w:pPr>
            <w:r>
              <w:rPr>
                <w:b/>
                <w:i/>
              </w:rPr>
              <w:t>Type of Costs Associated with Living Building Challenge</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rPr>
                <w:b/>
              </w:rPr>
            </w:pPr>
            <w:r>
              <w:rPr>
                <w:b/>
              </w:rPr>
              <w:t xml:space="preserve">Direct Cost </w:t>
            </w:r>
          </w:p>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rPr>
                <w:b/>
              </w:rPr>
            </w:pPr>
            <w:r>
              <w:rPr>
                <w:b/>
              </w:rPr>
              <w:t xml:space="preserve">Indirect Cost </w:t>
            </w:r>
          </w:p>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 xml:space="preserve">Personnel </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 xml:space="preserve">Equipment </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 xml:space="preserve">Supplies </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Net Zero Water Strategies</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04318C">
            <w:r>
              <w:t>3.1% Cost premium</w:t>
            </w:r>
          </w:p>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Energy Efficiency System improvements</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04318C">
            <w:r>
              <w:t>The first cost premium for energy efficiency 7-12% for office building renovation.</w:t>
            </w:r>
          </w:p>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 xml:space="preserve">Contractual services </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04318C">
            <w:r>
              <w:t>Biophilia - costs to design a biophilic building are included into architectural premium</w:t>
            </w:r>
          </w:p>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 xml:space="preserve">Facility construction </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04318C">
            <w:r>
              <w:t>1.25% cost of construction for not using Red List materials and substituting them for other materials</w:t>
            </w:r>
          </w:p>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Appropriate Sourcing</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04318C">
            <w:r>
              <w:t>1.25% cost premium for locally sourced materials and reduced competition</w:t>
            </w:r>
          </w:p>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Developmen</w:t>
            </w:r>
            <w:bookmarkStart w:id="0" w:name="_GoBack"/>
            <w:bookmarkEnd w:id="0"/>
            <w:r>
              <w:t>t Cost</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04318C">
            <w:r>
              <w:t xml:space="preserve">2% greater than traditional </w:t>
            </w:r>
            <w:r>
              <w:lastRenderedPageBreak/>
              <w:t>development cost, due to the greater effort for deep green design.</w:t>
            </w:r>
          </w:p>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 xml:space="preserve">etc. </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trHeight w:val="420"/>
        </w:trPr>
        <w:tc>
          <w:tcPr>
            <w:tcW w:w="8624" w:type="dxa"/>
            <w:gridSpan w:val="4"/>
            <w:tcBorders>
              <w:top w:val="single" w:sz="6" w:space="0" w:color="0056B2"/>
              <w:left w:val="single" w:sz="6" w:space="0" w:color="0056B2"/>
              <w:bottom w:val="single" w:sz="6" w:space="0" w:color="0056B2"/>
              <w:right w:val="single" w:sz="6" w:space="0" w:color="0056B2"/>
            </w:tcBorders>
            <w:vAlign w:val="center"/>
          </w:tcPr>
          <w:p w:rsidR="009E1AD5" w:rsidRDefault="009E1AD5">
            <w:pPr>
              <w:spacing w:before="100" w:after="280"/>
              <w:rPr>
                <w:b/>
              </w:rPr>
            </w:pPr>
          </w:p>
          <w:p w:rsidR="009E1AD5" w:rsidRDefault="009E1AD5">
            <w:pPr>
              <w:spacing w:after="280"/>
              <w:rPr>
                <w:b/>
              </w:rPr>
            </w:pPr>
          </w:p>
          <w:p w:rsidR="009E1AD5" w:rsidRDefault="0004318C">
            <w:pPr>
              <w:spacing w:after="100"/>
              <w:rPr>
                <w:b/>
              </w:rPr>
            </w:pPr>
            <w:r>
              <w:rPr>
                <w:b/>
              </w:rPr>
              <w:t>2.  Benefits of the Living Building</w:t>
            </w:r>
            <w:r>
              <w:rPr>
                <w:b/>
              </w:rPr>
              <w:t xml:space="preserve"> Challenge</w:t>
            </w:r>
          </w:p>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9E1AD5">
            <w:pPr>
              <w:spacing w:before="100" w:after="100"/>
              <w:rPr>
                <w:b/>
                <w:i/>
              </w:rPr>
            </w:pP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rPr>
                <w:b/>
              </w:rPr>
            </w:pPr>
            <w:r>
              <w:rPr>
                <w:b/>
              </w:rPr>
              <w:t xml:space="preserve">Direct Benefits </w:t>
            </w:r>
          </w:p>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rPr>
                <w:b/>
              </w:rPr>
            </w:pPr>
            <w:r>
              <w:rPr>
                <w:b/>
              </w:rPr>
              <w:t xml:space="preserve">Indirect Benefits </w:t>
            </w:r>
          </w:p>
        </w:tc>
      </w:tr>
      <w:tr w:rsidR="009E1AD5">
        <w:trPr>
          <w:gridAfter w:val="1"/>
          <w:wAfter w:w="851" w:type="dxa"/>
          <w:trHeight w:val="400"/>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Energy Efficiency System improvements</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04318C">
            <w:r>
              <w:t>SREC reimbursements and tax credits offset first cost premiums of setting up.</w:t>
            </w:r>
          </w:p>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04318C">
            <w:r>
              <w:t>Reduced Energy Use Intensity from 67kBtu/sf/year to 31kBtu/sf/year.</w:t>
            </w:r>
          </w:p>
        </w:tc>
      </w:tr>
      <w:tr w:rsidR="009E1AD5">
        <w:trPr>
          <w:gridAfter w:val="1"/>
          <w:wAfter w:w="851" w:type="dxa"/>
          <w:trHeight w:val="400"/>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Net Zero Water Strategies</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04318C">
            <w:r>
              <w:t>5.1% ROI</w:t>
            </w:r>
          </w:p>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Height w:val="400"/>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Better environment</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Improved health results</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Height w:val="320"/>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More efficient energy use</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Height w:val="400"/>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Lower cost of operation</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Lower life-cycle maintenance costs</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Enhanced productivity</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r w:rsidR="009E1AD5">
        <w:trPr>
          <w:gridAfter w:val="1"/>
          <w:wAfter w:w="851" w:type="dxa"/>
        </w:trPr>
        <w:tc>
          <w:tcPr>
            <w:tcW w:w="4806" w:type="dxa"/>
            <w:tcBorders>
              <w:top w:val="single" w:sz="6" w:space="0" w:color="0056B2"/>
              <w:left w:val="single" w:sz="6" w:space="0" w:color="0056B2"/>
              <w:bottom w:val="single" w:sz="6" w:space="0" w:color="0056B2"/>
              <w:right w:val="single" w:sz="6" w:space="0" w:color="0056B2"/>
            </w:tcBorders>
            <w:vAlign w:val="center"/>
          </w:tcPr>
          <w:p w:rsidR="009E1AD5" w:rsidRDefault="0004318C">
            <w:pPr>
              <w:spacing w:before="100" w:after="100"/>
            </w:pPr>
            <w:r>
              <w:t xml:space="preserve">etc. </w:t>
            </w:r>
          </w:p>
        </w:tc>
        <w:tc>
          <w:tcPr>
            <w:tcW w:w="1586" w:type="dxa"/>
            <w:tcBorders>
              <w:top w:val="single" w:sz="6" w:space="0" w:color="0056B2"/>
              <w:left w:val="single" w:sz="6" w:space="0" w:color="0056B2"/>
              <w:bottom w:val="single" w:sz="6" w:space="0" w:color="0056B2"/>
              <w:right w:val="single" w:sz="6" w:space="0" w:color="0056B2"/>
            </w:tcBorders>
            <w:vAlign w:val="center"/>
          </w:tcPr>
          <w:p w:rsidR="009E1AD5" w:rsidRDefault="009E1AD5"/>
        </w:tc>
        <w:tc>
          <w:tcPr>
            <w:tcW w:w="1381" w:type="dxa"/>
            <w:tcBorders>
              <w:top w:val="single" w:sz="6" w:space="0" w:color="0056B2"/>
              <w:left w:val="single" w:sz="6" w:space="0" w:color="0056B2"/>
              <w:bottom w:val="single" w:sz="6" w:space="0" w:color="0056B2"/>
              <w:right w:val="single" w:sz="6" w:space="0" w:color="0056B2"/>
            </w:tcBorders>
            <w:vAlign w:val="center"/>
          </w:tcPr>
          <w:p w:rsidR="009E1AD5" w:rsidRDefault="009E1AD5"/>
        </w:tc>
      </w:tr>
    </w:tbl>
    <w:p w:rsidR="009E1AD5" w:rsidRDefault="009E1AD5">
      <w:pPr>
        <w:rPr>
          <w:b/>
        </w:rPr>
      </w:pPr>
    </w:p>
    <w:p w:rsidR="009E1AD5" w:rsidRDefault="0004318C">
      <w:pPr>
        <w:spacing w:before="100" w:after="280"/>
        <w:rPr>
          <w:b/>
        </w:rPr>
      </w:pPr>
      <w:r>
        <w:rPr>
          <w:b/>
        </w:rPr>
        <w:t xml:space="preserve">According to a cost comparison report for buildings in the District of Columbia, the Living Building Challenge costs $312/SF, while LEED Platinum building costs $250/SF for an Office </w:t>
      </w:r>
      <w:proofErr w:type="gramStart"/>
      <w:r>
        <w:rPr>
          <w:b/>
        </w:rPr>
        <w:t>Renovation.(</w:t>
      </w:r>
      <w:proofErr w:type="gramEnd"/>
      <w:r>
        <w:rPr>
          <w:b/>
        </w:rPr>
        <w:t>Net Zero and Living Building Challenge Financial Study, p.33)</w:t>
      </w:r>
      <w:r>
        <w:rPr>
          <w:b/>
        </w:rPr>
        <w:t>.</w:t>
      </w:r>
    </w:p>
    <w:p w:rsidR="009E1AD5" w:rsidRDefault="009E1AD5">
      <w:pPr>
        <w:spacing w:before="100" w:after="280"/>
        <w:rPr>
          <w:b/>
        </w:rPr>
      </w:pPr>
    </w:p>
    <w:p w:rsidR="009E1AD5" w:rsidRDefault="009E1AD5"/>
    <w:sectPr w:rsidR="009E1AD5">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318C" w:rsidRDefault="0004318C">
      <w:r>
        <w:separator/>
      </w:r>
    </w:p>
  </w:endnote>
  <w:endnote w:type="continuationSeparator" w:id="0">
    <w:p w:rsidR="0004318C" w:rsidRDefault="00043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2020603050405020304"/>
    <w:charset w:val="00"/>
    <w:family w:val="auto"/>
    <w:pitch w:val="default"/>
  </w:font>
  <w:font w:name="Technicalb0166.625">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1AD5" w:rsidRDefault="0004318C">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rsidR="009E1AD5" w:rsidRDefault="009E1AD5">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1AD5" w:rsidRDefault="009E1AD5">
    <w:pPr>
      <w:pBdr>
        <w:top w:val="nil"/>
        <w:left w:val="nil"/>
        <w:bottom w:val="nil"/>
        <w:right w:val="nil"/>
        <w:between w:val="nil"/>
      </w:pBdr>
      <w:tabs>
        <w:tab w:val="center" w:pos="4320"/>
        <w:tab w:val="right" w:pos="864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1AD5" w:rsidRDefault="009E1AD5">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318C" w:rsidRDefault="0004318C">
      <w:r>
        <w:separator/>
      </w:r>
    </w:p>
  </w:footnote>
  <w:footnote w:type="continuationSeparator" w:id="0">
    <w:p w:rsidR="0004318C" w:rsidRDefault="00043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1AD5" w:rsidRDefault="009E1AD5">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1AD5" w:rsidRDefault="0004318C">
    <w:pPr>
      <w:pBdr>
        <w:top w:val="nil"/>
        <w:left w:val="nil"/>
        <w:bottom w:val="nil"/>
        <w:right w:val="nil"/>
        <w:between w:val="nil"/>
      </w:pBdr>
      <w:tabs>
        <w:tab w:val="center" w:pos="4320"/>
        <w:tab w:val="right" w:pos="8640"/>
      </w:tabs>
      <w:rPr>
        <w:color w:val="000000"/>
      </w:rPr>
    </w:pPr>
    <w:r>
      <w:rPr>
        <w:color w:val="000000"/>
      </w:rPr>
      <w:t>Costs and Benefits Determination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1AD5" w:rsidRDefault="009E1AD5">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9D182C"/>
    <w:multiLevelType w:val="multilevel"/>
    <w:tmpl w:val="EEF6E4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1C21C7E"/>
    <w:multiLevelType w:val="multilevel"/>
    <w:tmpl w:val="93408E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AD5"/>
    <w:rsid w:val="0004318C"/>
    <w:rsid w:val="00223E36"/>
    <w:rsid w:val="009E1A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86C6F"/>
  <w15:docId w15:val="{7914B024-A64A-48CE-A939-1B6349388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outlineLvl w:val="0"/>
    </w:pPr>
    <w:rPr>
      <w:b/>
      <w:color w:val="335B8A"/>
      <w:sz w:val="32"/>
      <w:szCs w:val="32"/>
    </w:rPr>
  </w:style>
  <w:style w:type="paragraph" w:styleId="Heading2">
    <w:name w:val="heading 2"/>
    <w:basedOn w:val="Normal"/>
    <w:next w:val="Normal"/>
    <w:pPr>
      <w:keepNext/>
      <w:keepLines/>
      <w:spacing w:before="200"/>
      <w:outlineLvl w:val="1"/>
    </w:pPr>
    <w:rPr>
      <w:b/>
      <w:color w:val="4F81BD"/>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contextualSpacing/>
    </w:pPr>
    <w:rPr>
      <w:color w:val="17365D"/>
      <w:sz w:val="52"/>
      <w:szCs w:val="5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rFonts w:ascii="Cambria" w:eastAsia="Cambria" w:hAnsi="Cambria" w:cs="Cambria"/>
      <w:sz w:val="22"/>
      <w:szCs w:val="22"/>
    </w:rPr>
    <w:tblPr>
      <w:tblStyleRowBandSize w:val="1"/>
      <w:tblStyleColBandSize w:val="1"/>
    </w:tblPr>
  </w:style>
  <w:style w:type="table" w:customStyle="1" w:styleId="a0">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Halah Alnoaman</dc:creator>
  <cp:lastModifiedBy>Halah Alnoaman</cp:lastModifiedBy>
  <cp:revision>2</cp:revision>
  <dcterms:created xsi:type="dcterms:W3CDTF">2018-11-04T22:53:00Z</dcterms:created>
  <dcterms:modified xsi:type="dcterms:W3CDTF">2018-11-04T22:53:00Z</dcterms:modified>
</cp:coreProperties>
</file>